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Sokrates-väittelyn pisteytyslomake</w:t>
      </w:r>
    </w:p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92"/>
        <w:gridCol w:w="4820"/>
        <w:tblGridChange w:id="0">
          <w:tblGrid>
            <w:gridCol w:w="4820"/>
            <w:gridCol w:w="2892"/>
            <w:gridCol w:w="482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Puolustava joukkue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Aihe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Vastustava joukkue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 / -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Väittelyn osa-alue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 / -</w:t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Argumentaatio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0-4p.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Johdonmukaisuus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Osuvuus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Kyky reagoida vastustajien esittämiin väitteisiin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121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Vastustajan argumenttien onnistunut kumoaminen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Filosofisen tiedon soveltaminen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0-2p.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121"/>
                <w:sz w:val="23"/>
                <w:szCs w:val="23"/>
                <w:rtl w:val="0"/>
              </w:rPr>
              <w:t xml:space="preserve">Aiheen kannalta keskeisten käsitteiden ja teorioiden asianmukainen käyttö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Käsittelyn monipuolisuus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0-2p.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Puhetaito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Ilmaisun selkeys ja vakuuttavuus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0-2p.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Joukkueen yhteistyö ja asiallinen väittelytapa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0-2p.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5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756920</wp:posOffset>
                </wp:positionV>
                <wp:extent cx="5821045" cy="200279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0240" y="2783368"/>
                          <a:ext cx="581152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  <w:t xml:space="preserve">väittelyn jälkeen tuomaristo vetäytyy keskustelemaan ja päättää voittajan arvostelulomakkeen kriteeristön avulla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  <w:t xml:space="preserve">väittely ei voi päättyä tasan - vaikka joku tuomareista olisi antanut joukkueille tasapisteet, hänen tulee päättää suosikkinsa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  <w:t xml:space="preserve">päätöksenteon jälkeen tuomarit antavat joukkueille palautetta ja ilmoittavat väittelyn voittajan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  <w:t xml:space="preserve">joukkueiden saamia pistemääriä ei ole syytä ilmoittaa (niitä hyödynnetään vain, jos jotkin joukkueet ovat alkulohkon jälkeen voittojen suhteen tasapisteissä)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756920</wp:posOffset>
                </wp:positionV>
                <wp:extent cx="5821045" cy="200279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045" cy="2002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680" w:top="68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